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9A" w:rsidRDefault="000830C1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91684D" wp14:editId="145B3CC0">
                <wp:simplePos x="0" y="0"/>
                <wp:positionH relativeFrom="column">
                  <wp:posOffset>-579755</wp:posOffset>
                </wp:positionH>
                <wp:positionV relativeFrom="paragraph">
                  <wp:posOffset>-173990</wp:posOffset>
                </wp:positionV>
                <wp:extent cx="6720840" cy="9364980"/>
                <wp:effectExtent l="0" t="0" r="3810" b="762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720840" cy="936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99A" w:rsidRDefault="0007499A" w:rsidP="0007499A">
                            <w:pPr>
                              <w:spacing w:before="33"/>
                              <w:ind w:left="1478" w:right="1544"/>
                              <w:jc w:val="center"/>
                              <w:rPr>
                                <w:spacing w:val="1"/>
                                <w:w w:val="83"/>
                                <w:sz w:val="28"/>
                                <w:szCs w:val="28"/>
                              </w:rPr>
                            </w:pPr>
                          </w:p>
                          <w:p w:rsidR="0007499A" w:rsidRDefault="0007499A" w:rsidP="0007499A"/>
                          <w:p w:rsidR="0007499A" w:rsidRDefault="0007499A" w:rsidP="0007499A"/>
                          <w:p w:rsidR="0007499A" w:rsidRDefault="0007499A" w:rsidP="0007499A"/>
                          <w:p w:rsidR="00782D9F" w:rsidRDefault="0007499A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D28"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82D9F" w:rsidRDefault="00782D9F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</w:rPr>
                            </w:pPr>
                          </w:p>
                          <w:p w:rsidR="0007499A" w:rsidRPr="00EB221B" w:rsidRDefault="0007499A" w:rsidP="0007499A">
                            <w:pPr>
                              <w:jc w:val="right"/>
                              <w:rPr>
                                <w:rFonts w:eastAsia="Arial Unicode MS"/>
                                <w:b/>
                                <w:i/>
                              </w:rPr>
                            </w:pPr>
                            <w:r w:rsidRPr="00EB221B">
                              <w:rPr>
                                <w:rFonts w:eastAsia="Arial Unicode MS"/>
                                <w:b/>
                                <w:i/>
                              </w:rPr>
                              <w:t>All .C</w:t>
                            </w:r>
                            <w:r>
                              <w:rPr>
                                <w:rFonts w:eastAsia="Arial Unicode MS"/>
                                <w:b/>
                                <w:i/>
                              </w:rPr>
                              <w:t xml:space="preserve">         REV.3</w:t>
                            </w:r>
                          </w:p>
                          <w:p w:rsidR="0007499A" w:rsidRPr="0059100A" w:rsidRDefault="0007499A" w:rsidP="0007499A"/>
                          <w:p w:rsidR="00782D9F" w:rsidRDefault="00782D9F" w:rsidP="0007499A">
                            <w:pPr>
                              <w:jc w:val="center"/>
                              <w:rPr>
                                <w:rFonts w:cs="ConduitITC-Bold"/>
                                <w:b/>
                                <w:bCs/>
                              </w:rPr>
                            </w:pPr>
                          </w:p>
                          <w:p w:rsidR="0007499A" w:rsidRPr="00B416A0" w:rsidRDefault="0007499A" w:rsidP="000749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nduitITC-Bold"/>
                                <w:b/>
                                <w:bCs/>
                              </w:rPr>
                              <w:t xml:space="preserve">CONVENZIONE </w:t>
                            </w:r>
                            <w:r w:rsidRPr="004A1BE1">
                              <w:rPr>
                                <w:rFonts w:cs="ConduitITC-Bold"/>
                                <w:b/>
                                <w:bCs/>
                              </w:rPr>
                              <w:t xml:space="preserve">PERCORSI PER LE COMPETENZE TRASVERSALI E PER L'ORIENTAMENTO </w:t>
                            </w:r>
                            <w:r w:rsidRPr="004A1BE1">
                              <w:rPr>
                                <w:rFonts w:cs="ConduitITC-Bold"/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Pr="00B92E3C">
                              <w:rPr>
                                <w:rFonts w:cs="ConduitITC-Bold"/>
                                <w:b/>
                                <w:bCs/>
                              </w:rPr>
                              <w:t>PCTO)</w:t>
                            </w:r>
                            <w:r>
                              <w:rPr>
                                <w:rFonts w:cs="ConduitITC-Bold"/>
                                <w:b/>
                                <w:bCs/>
                              </w:rPr>
                              <w:t xml:space="preserve"> ex </w:t>
                            </w:r>
                            <w:r w:rsidRPr="00B416A0">
                              <w:rPr>
                                <w:rFonts w:cs="ConduitITC-Bold"/>
                                <w:b/>
                                <w:bCs/>
                              </w:rPr>
                              <w:t>ALTERNANZA SCUOLA-LAVORO</w:t>
                            </w:r>
                          </w:p>
                          <w:p w:rsidR="0007499A" w:rsidRPr="005533D1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499A" w:rsidRPr="005533D1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Light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533D1">
                              <w:rPr>
                                <w:rFonts w:cs="ConduitITC-Light"/>
                                <w:b/>
                                <w:color w:val="000000"/>
                                <w:sz w:val="23"/>
                                <w:szCs w:val="23"/>
                              </w:rPr>
                              <w:t>TRA</w:t>
                            </w:r>
                          </w:p>
                          <w:p w:rsidR="0007499A" w:rsidRPr="005533D1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499A" w:rsidRDefault="0007499A" w:rsidP="0007499A">
                            <w:pPr>
                              <w:ind w:left="113" w:right="7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I.I.S. “Marconi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Guarasci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” Cosenza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) con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sed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Cosenza via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Stadi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snc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F. 98104070788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d’ora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poi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denominato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“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”,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rappresentato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dal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Dirigente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</w:rPr>
                              <w:t xml:space="preserve"> MARIA ROSARIA VELTRI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SAN MARCO ARGENTANO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13/10/1962,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ice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fisca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VLT MSV 62R53 H981X;</w:t>
                            </w:r>
                          </w:p>
                          <w:p w:rsidR="0007499A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07499A" w:rsidRPr="005533D1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onduitITC-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499A" w:rsidRPr="005533D1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Light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533D1">
                              <w:rPr>
                                <w:rFonts w:cs="ConduitITC-Light"/>
                                <w:b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</w:p>
                          <w:p w:rsidR="0007499A" w:rsidRPr="005533D1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499A" w:rsidRPr="00103573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Bold"/>
                                <w:b/>
                                <w:bCs/>
                                <w:color w:val="1D40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onduitITC-Light"/>
                                <w:b/>
                                <w:color w:val="000000"/>
                                <w:sz w:val="23"/>
                                <w:szCs w:val="23"/>
                              </w:rPr>
                              <w:t>Il _______________________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nato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 ___________ (  )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___________ C.F.___________________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d’ora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poi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denominato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rappresentato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 del_________________________________________________</w:t>
                            </w:r>
                          </w:p>
                          <w:p w:rsidR="0007499A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</w:p>
                          <w:p w:rsidR="0007499A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proofErr w:type="spellStart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Premesso</w:t>
                            </w:r>
                            <w:proofErr w:type="spellEnd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che</w:t>
                            </w:r>
                            <w:proofErr w:type="spellEnd"/>
                          </w:p>
                          <w:p w:rsidR="0007499A" w:rsidRPr="00526F6E" w:rsidRDefault="0007499A" w:rsidP="0007499A">
                            <w:pPr>
                              <w:spacing w:before="3" w:line="180" w:lineRule="exact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07499A" w:rsidRPr="00526F6E" w:rsidRDefault="0007499A" w:rsidP="0007499A">
                            <w:pPr>
                              <w:spacing w:line="258" w:lineRule="auto"/>
                              <w:ind w:left="113" w:right="76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- la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legge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30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dicembre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2018, n. 145,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recante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“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Bilancio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previsione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Stato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l’anno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finanziario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2019 e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bilancio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pluriennale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triennio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2019-2021” (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legge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Bilancio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2019) ha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disposto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la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ridenominazione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alternanza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scuola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cui al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decreto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legislativo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15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aprile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2005, n. 77, in “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le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competenze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trasversali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per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l’orientamento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”</w:t>
                            </w:r>
                          </w:p>
                          <w:p w:rsidR="0007499A" w:rsidRPr="00526F6E" w:rsidRDefault="0007499A" w:rsidP="0007499A">
                            <w:pPr>
                              <w:spacing w:before="1" w:line="258" w:lineRule="auto"/>
                              <w:ind w:left="113" w:right="71" w:firstLine="5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sensi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dell’art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1 del D.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Lgs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77/05,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tali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costituiscono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una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modalità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realizzazione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secondo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ciclo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sistema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d’istruzione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per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assicurare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giovani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l’acquisizione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competenze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spendibili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mercato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07499A" w:rsidRPr="00526F6E" w:rsidRDefault="0007499A" w:rsidP="0007499A">
                            <w:pPr>
                              <w:spacing w:before="1" w:line="258" w:lineRule="auto"/>
                              <w:ind w:left="113" w:right="74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sensi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legge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13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luglio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2015 n.107, art.1,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commi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33-43,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esame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sono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organicamente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inseriti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Piano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Triennale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dell’Offerta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dell’istituzione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scolastica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come parte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integrante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istruzione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07499A" w:rsidRPr="00526F6E" w:rsidRDefault="0007499A" w:rsidP="0007499A">
                            <w:pPr>
                              <w:spacing w:before="1"/>
                              <w:ind w:left="163" w:right="87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durante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gli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sono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all’applicazione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disposizioni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d.lgs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9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aprile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2008, n.81 e successive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modifiche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integrazioni</w:t>
                            </w:r>
                            <w:proofErr w:type="spellEnd"/>
                            <w:r w:rsidRPr="00526F6E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07499A" w:rsidRPr="00526F6E" w:rsidRDefault="0007499A" w:rsidP="0007499A">
                            <w:pPr>
                              <w:spacing w:line="200" w:lineRule="exact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07499A" w:rsidRDefault="0007499A" w:rsidP="0007499A">
                            <w:pPr>
                              <w:spacing w:before="11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7499A" w:rsidRPr="00103573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499A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 xml:space="preserve">Si </w:t>
                            </w:r>
                            <w:proofErr w:type="spellStart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conviene</w:t>
                            </w:r>
                            <w:proofErr w:type="spellEnd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quanto</w:t>
                            </w:r>
                            <w:proofErr w:type="spellEnd"/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 xml:space="preserve"> segue:</w:t>
                            </w:r>
                          </w:p>
                          <w:p w:rsidR="0007499A" w:rsidRPr="00103573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Bold"/>
                                <w:b/>
                                <w:bCs/>
                                <w:color w:val="1D407E"/>
                                <w:sz w:val="16"/>
                                <w:szCs w:val="16"/>
                              </w:rPr>
                            </w:pPr>
                          </w:p>
                          <w:p w:rsidR="0007499A" w:rsidRPr="00AF2260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Art. 1.</w:t>
                            </w:r>
                          </w:p>
                          <w:p w:rsidR="0007499A" w:rsidRPr="00AF2260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 [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                         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], qui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seguito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indicata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/o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anche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come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“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”,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impegna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ad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accogliere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titolo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gratuito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sue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strutture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n°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 __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alunni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___ 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PCTO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su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proposta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ell’IIS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“Marconi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Guarasci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” di Cosenza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seguito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indicata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/o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anche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come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“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”.</w:t>
                            </w:r>
                          </w:p>
                          <w:p w:rsidR="0007499A" w:rsidRPr="00AF2260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Art. 2.</w:t>
                            </w:r>
                          </w:p>
                          <w:p w:rsidR="0007499A" w:rsidRPr="00AF2260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L’accoglimento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periodi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apprendimento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situazione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lavorativa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non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costituisce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rapporto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7499A" w:rsidRPr="00AF2260" w:rsidRDefault="0007499A" w:rsidP="000749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2. Ai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fini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effetti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disposizioni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cui al D.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Lgs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81/2008, 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lavorat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è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equiparato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PCTO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ex art. 2 comma 1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lettera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decreto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citato.</w:t>
                            </w:r>
                          </w:p>
                          <w:p w:rsidR="0007499A" w:rsidRDefault="00074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5.65pt;margin-top:-13.7pt;width:529.2pt;height:737.4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" stroked="f">
                <v:textbox>
                  <w:txbxContent>
                    <w:p w:rsidR="0007499A" w:rsidRDefault="0007499A" w:rsidP="0007499A">
                      <w:pPr>
                        <w:spacing w:before="33"/>
                        <w:ind w:left="1478" w:right="1544"/>
                        <w:jc w:val="center"/>
                        <w:rPr>
                          <w:spacing w:val="1"/>
                          <w:w w:val="83"/>
                          <w:sz w:val="28"/>
                          <w:szCs w:val="28"/>
                        </w:rPr>
                      </w:pPr>
                    </w:p>
                    <w:p w:rsidR="0007499A" w:rsidRDefault="0007499A" w:rsidP="0007499A"/>
                    <w:p w:rsidR="0007499A" w:rsidRDefault="0007499A" w:rsidP="0007499A"/>
                    <w:p w:rsidR="0007499A" w:rsidRDefault="0007499A" w:rsidP="0007499A"/>
                    <w:p w:rsidR="00782D9F" w:rsidRDefault="0007499A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  <w:r w:rsidRPr="00043D28"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782D9F" w:rsidRDefault="00782D9F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</w:rPr>
                      </w:pPr>
                    </w:p>
                    <w:p w:rsidR="0007499A" w:rsidRPr="00EB221B" w:rsidRDefault="0007499A" w:rsidP="0007499A">
                      <w:pPr>
                        <w:jc w:val="right"/>
                        <w:rPr>
                          <w:rFonts w:eastAsia="Arial Unicode MS"/>
                          <w:b/>
                          <w:i/>
                        </w:rPr>
                      </w:pPr>
                      <w:r w:rsidRPr="00EB221B">
                        <w:rPr>
                          <w:rFonts w:eastAsia="Arial Unicode MS"/>
                          <w:b/>
                          <w:i/>
                        </w:rPr>
                        <w:t>All .C</w:t>
                      </w:r>
                      <w:r>
                        <w:rPr>
                          <w:rFonts w:eastAsia="Arial Unicode MS"/>
                          <w:b/>
                          <w:i/>
                        </w:rPr>
                        <w:t xml:space="preserve">         REV.3</w:t>
                      </w:r>
                    </w:p>
                    <w:p w:rsidR="0007499A" w:rsidRPr="0059100A" w:rsidRDefault="0007499A" w:rsidP="0007499A"/>
                    <w:p w:rsidR="00782D9F" w:rsidRDefault="00782D9F" w:rsidP="0007499A">
                      <w:pPr>
                        <w:jc w:val="center"/>
                        <w:rPr>
                          <w:rFonts w:cs="ConduitITC-Bold"/>
                          <w:b/>
                          <w:bCs/>
                        </w:rPr>
                      </w:pPr>
                    </w:p>
                    <w:p w:rsidR="0007499A" w:rsidRPr="00B416A0" w:rsidRDefault="0007499A" w:rsidP="000749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="ConduitITC-Bold"/>
                          <w:b/>
                          <w:bCs/>
                        </w:rPr>
                        <w:t xml:space="preserve">CONVENZIONE </w:t>
                      </w:r>
                      <w:r w:rsidRPr="004A1BE1">
                        <w:rPr>
                          <w:rFonts w:cs="ConduitITC-Bold"/>
                          <w:b/>
                          <w:bCs/>
                        </w:rPr>
                        <w:t xml:space="preserve">PERCORSI PER LE COMPETENZE TRASVERSALI E PER L'ORIENTAMENTO </w:t>
                      </w:r>
                      <w:r w:rsidRPr="004A1BE1">
                        <w:rPr>
                          <w:rFonts w:cs="ConduitITC-Bold"/>
                          <w:b/>
                          <w:bCs/>
                          <w:u w:val="single"/>
                        </w:rPr>
                        <w:t>(</w:t>
                      </w:r>
                      <w:r w:rsidRPr="00B92E3C">
                        <w:rPr>
                          <w:rFonts w:cs="ConduitITC-Bold"/>
                          <w:b/>
                          <w:bCs/>
                        </w:rPr>
                        <w:t>PCTO)</w:t>
                      </w:r>
                      <w:r>
                        <w:rPr>
                          <w:rFonts w:cs="ConduitITC-Bold"/>
                          <w:b/>
                          <w:bCs/>
                        </w:rPr>
                        <w:t xml:space="preserve"> ex </w:t>
                      </w:r>
                      <w:r w:rsidRPr="00B416A0">
                        <w:rPr>
                          <w:rFonts w:cs="ConduitITC-Bold"/>
                          <w:b/>
                          <w:bCs/>
                        </w:rPr>
                        <w:t>ALTERNANZA SCUOLA-LAVORO</w:t>
                      </w:r>
                    </w:p>
                    <w:p w:rsidR="0007499A" w:rsidRPr="005533D1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16"/>
                          <w:szCs w:val="16"/>
                        </w:rPr>
                      </w:pPr>
                    </w:p>
                    <w:p w:rsidR="0007499A" w:rsidRPr="005533D1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Light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5533D1">
                        <w:rPr>
                          <w:rFonts w:cs="ConduitITC-Light"/>
                          <w:b/>
                          <w:color w:val="000000"/>
                          <w:sz w:val="23"/>
                          <w:szCs w:val="23"/>
                        </w:rPr>
                        <w:t>TRA</w:t>
                      </w:r>
                    </w:p>
                    <w:p w:rsidR="0007499A" w:rsidRPr="005533D1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Light"/>
                          <w:color w:val="000000"/>
                          <w:sz w:val="16"/>
                          <w:szCs w:val="16"/>
                        </w:rPr>
                      </w:pPr>
                    </w:p>
                    <w:p w:rsidR="0007499A" w:rsidRDefault="0007499A" w:rsidP="0007499A">
                      <w:pPr>
                        <w:ind w:left="113" w:right="71"/>
                        <w:jc w:val="both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I.I.S. “Marconi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Guarasci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” Cosenza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) con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sed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Cosenza via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degli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Stadi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snc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Codice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F. 98104070788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d’ora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poi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denominato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“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”,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rappresentato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dal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Dirigente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ig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2"/>
                          <w:szCs w:val="22"/>
                        </w:rPr>
                        <w:t xml:space="preserve"> MARIA ROSARIA VELTRI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ato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a SAN MARCO ARGENTANO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13/10/1962,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ice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fisca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VLT MSV 62R53 H981X;</w:t>
                      </w:r>
                    </w:p>
                    <w:p w:rsidR="0007499A" w:rsidRDefault="0007499A" w:rsidP="0007499A">
                      <w:pPr>
                        <w:autoSpaceDE w:val="0"/>
                        <w:autoSpaceDN w:val="0"/>
                        <w:adjustRightInd w:val="0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07499A" w:rsidRPr="005533D1" w:rsidRDefault="0007499A" w:rsidP="0007499A">
                      <w:pPr>
                        <w:autoSpaceDE w:val="0"/>
                        <w:autoSpaceDN w:val="0"/>
                        <w:adjustRightInd w:val="0"/>
                        <w:rPr>
                          <w:rFonts w:cs="ConduitITC-Light"/>
                          <w:color w:val="000000"/>
                          <w:sz w:val="16"/>
                          <w:szCs w:val="16"/>
                        </w:rPr>
                      </w:pPr>
                    </w:p>
                    <w:p w:rsidR="0007499A" w:rsidRPr="005533D1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Light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5533D1">
                        <w:rPr>
                          <w:rFonts w:cs="ConduitITC-Light"/>
                          <w:b/>
                          <w:color w:val="000000"/>
                          <w:sz w:val="23"/>
                          <w:szCs w:val="23"/>
                        </w:rPr>
                        <w:t>E</w:t>
                      </w:r>
                    </w:p>
                    <w:p w:rsidR="0007499A" w:rsidRPr="005533D1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16"/>
                          <w:szCs w:val="16"/>
                        </w:rPr>
                      </w:pPr>
                    </w:p>
                    <w:p w:rsidR="0007499A" w:rsidRPr="00103573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Bold"/>
                          <w:b/>
                          <w:bCs/>
                          <w:color w:val="1D407E"/>
                          <w:sz w:val="16"/>
                          <w:szCs w:val="16"/>
                        </w:rPr>
                      </w:pPr>
                      <w:r>
                        <w:rPr>
                          <w:rFonts w:cs="ConduitITC-Light"/>
                          <w:b/>
                          <w:color w:val="000000"/>
                          <w:sz w:val="23"/>
                          <w:szCs w:val="23"/>
                        </w:rPr>
                        <w:t>Il _______________________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nato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 ___________ (  )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___________ C.F.___________________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d’ora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poi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denominato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)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rappresentato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 del_________________________________________________</w:t>
                      </w:r>
                    </w:p>
                    <w:p w:rsidR="0007499A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</w:p>
                    <w:p w:rsidR="0007499A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proofErr w:type="spellStart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Premesso</w:t>
                      </w:r>
                      <w:proofErr w:type="spellEnd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che</w:t>
                      </w:r>
                      <w:proofErr w:type="spellEnd"/>
                    </w:p>
                    <w:p w:rsidR="0007499A" w:rsidRPr="00526F6E" w:rsidRDefault="0007499A" w:rsidP="0007499A">
                      <w:pPr>
                        <w:spacing w:before="3" w:line="180" w:lineRule="exact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07499A" w:rsidRPr="00526F6E" w:rsidRDefault="0007499A" w:rsidP="0007499A">
                      <w:pPr>
                        <w:spacing w:line="258" w:lineRule="auto"/>
                        <w:ind w:left="113" w:right="76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- la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legge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30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dicembre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2018, n. 145,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recante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“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Bilancio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previsione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Stato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l’anno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finanziario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2019 e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bilancio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pluriennale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triennio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2019-2021” (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legge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Bilancio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2019) ha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disposto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ridenominazione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alternanza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scuola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cui al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decreto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legislativo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15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aprile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2005, n. 77, in “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le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competenze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trasversali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per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l’orientamento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”</w:t>
                      </w:r>
                    </w:p>
                    <w:p w:rsidR="0007499A" w:rsidRPr="00526F6E" w:rsidRDefault="0007499A" w:rsidP="0007499A">
                      <w:pPr>
                        <w:spacing w:before="1" w:line="258" w:lineRule="auto"/>
                        <w:ind w:left="113" w:right="71" w:firstLine="5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-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sensi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dell’art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1 del D.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Lgs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77/05,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tali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costituiscono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una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modalità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realizzazione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secondo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ciclo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sistema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d’istruzione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per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assicurare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giovani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l’acquisizione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competenze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spendibili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mercato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07499A" w:rsidRPr="00526F6E" w:rsidRDefault="0007499A" w:rsidP="0007499A">
                      <w:pPr>
                        <w:spacing w:before="1" w:line="258" w:lineRule="auto"/>
                        <w:ind w:left="113" w:right="74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-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sensi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legge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13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luglio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2015 n.107, art.1,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commi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33-43,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esame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sono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organicamente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inseriti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Piano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Triennale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dell’Offerta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dell’istituzione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scolastica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come parte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integrante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istruzione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07499A" w:rsidRPr="00526F6E" w:rsidRDefault="0007499A" w:rsidP="0007499A">
                      <w:pPr>
                        <w:spacing w:before="1"/>
                        <w:ind w:left="163" w:right="87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-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durante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gli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sono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all’applicazione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disposizioni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d.lgs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9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aprile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2008, n.81 e successive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modifiche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integrazioni</w:t>
                      </w:r>
                      <w:proofErr w:type="spellEnd"/>
                      <w:r w:rsidRPr="00526F6E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07499A" w:rsidRPr="00526F6E" w:rsidRDefault="0007499A" w:rsidP="0007499A">
                      <w:pPr>
                        <w:spacing w:line="200" w:lineRule="exact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07499A" w:rsidRDefault="0007499A" w:rsidP="0007499A">
                      <w:pPr>
                        <w:spacing w:before="11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07499A" w:rsidRPr="00103573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16"/>
                          <w:szCs w:val="16"/>
                        </w:rPr>
                      </w:pPr>
                    </w:p>
                    <w:p w:rsidR="0007499A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 xml:space="preserve">Si </w:t>
                      </w:r>
                      <w:proofErr w:type="spellStart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conviene</w:t>
                      </w:r>
                      <w:proofErr w:type="spellEnd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quanto</w:t>
                      </w:r>
                      <w:proofErr w:type="spellEnd"/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 xml:space="preserve"> segue:</w:t>
                      </w:r>
                    </w:p>
                    <w:p w:rsidR="0007499A" w:rsidRPr="00103573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Bold"/>
                          <w:b/>
                          <w:bCs/>
                          <w:color w:val="1D407E"/>
                          <w:sz w:val="16"/>
                          <w:szCs w:val="16"/>
                        </w:rPr>
                      </w:pPr>
                    </w:p>
                    <w:p w:rsidR="0007499A" w:rsidRPr="00AF2260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Art. 1.</w:t>
                      </w:r>
                    </w:p>
                    <w:p w:rsidR="0007499A" w:rsidRPr="00AF2260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 [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                                                      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], qui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seguito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indicata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/o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anche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come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“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”,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impegna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ad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accogliere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titolo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gratuito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sue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strutture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n°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 __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alunni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della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Classe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___ 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PCTO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proposta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ell’IIS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“Marconi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Guarasci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” di Cosenza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seguito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indicata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/o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anche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come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“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”.</w:t>
                      </w:r>
                    </w:p>
                    <w:p w:rsidR="0007499A" w:rsidRPr="00AF2260" w:rsidRDefault="0007499A" w:rsidP="000749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Art. 2.</w:t>
                      </w:r>
                    </w:p>
                    <w:p w:rsidR="0007499A" w:rsidRPr="00AF2260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L’accoglimento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periodi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apprendimento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situazione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lavorativa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non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costituisce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rapporto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:rsidR="0007499A" w:rsidRPr="00AF2260" w:rsidRDefault="0007499A" w:rsidP="000749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2. Ai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fini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effetti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disposizioni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cui al D.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Lgs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81/2008, 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lavorat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è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equiparato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lo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PCTO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ex art. 2 comma 1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lettera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decreto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citato.</w:t>
                      </w:r>
                    </w:p>
                    <w:p w:rsidR="0007499A" w:rsidRDefault="0007499A"/>
                  </w:txbxContent>
                </v:textbox>
              </v:shape>
            </w:pict>
          </mc:Fallback>
        </mc:AlternateContent>
      </w:r>
    </w:p>
    <w:p w:rsidR="00BC125D" w:rsidRDefault="00BC125D"/>
    <w:p w:rsidR="0007499A" w:rsidRDefault="0007499A" w:rsidP="0007499A">
      <w:pPr>
        <w:jc w:val="right"/>
        <w:rPr>
          <w:rFonts w:eastAsia="Arial Unicode MS"/>
          <w:b/>
          <w:i/>
          <w:sz w:val="16"/>
          <w:szCs w:val="16"/>
        </w:rPr>
      </w:pPr>
    </w:p>
    <w:p w:rsidR="00BC125D" w:rsidRPr="000830C1" w:rsidRDefault="00BC125D" w:rsidP="0007499A">
      <w:pPr>
        <w:jc w:val="right"/>
        <w:rPr>
          <w:i/>
        </w:rPr>
      </w:pPr>
      <w:r w:rsidRPr="000830C1">
        <w:rPr>
          <w:rFonts w:eastAsia="Arial Unicode MS"/>
          <w:b/>
          <w:i/>
          <w:sz w:val="16"/>
          <w:szCs w:val="16"/>
        </w:rPr>
        <w:tab/>
        <w:t xml:space="preserve">                                            </w:t>
      </w:r>
    </w:p>
    <w:p w:rsidR="00BC125D" w:rsidRDefault="00BC125D"/>
    <w:p w:rsidR="00BC125D" w:rsidRDefault="00BC125D"/>
    <w:p w:rsidR="00BC125D" w:rsidRDefault="00BC125D"/>
    <w:p w:rsidR="00BC125D" w:rsidRDefault="00BC125D"/>
    <w:p w:rsidR="00BC125D" w:rsidRDefault="00BC125D"/>
    <w:p w:rsidR="00BC125D" w:rsidRDefault="00BC125D"/>
    <w:p w:rsidR="00BC125D" w:rsidRDefault="00BC125D"/>
    <w:p w:rsidR="00BC125D" w:rsidRDefault="00BC125D"/>
    <w:p w:rsidR="00BC125D" w:rsidRDefault="00BC125D"/>
    <w:p w:rsidR="00BC125D" w:rsidRDefault="00BC125D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782D9F">
      <w:r>
        <w:rPr>
          <w:noProof/>
          <w:lang w:val="it-IT" w:eastAsia="it-IT"/>
        </w:rPr>
        <w:drawing>
          <wp:anchor distT="0" distB="0" distL="114300" distR="114300" simplePos="0" relativeHeight="251671552" behindDoc="1" locked="0" layoutInCell="1" allowOverlap="1" wp14:anchorId="4D2C74BC" wp14:editId="3D873C7E">
            <wp:simplePos x="0" y="0"/>
            <wp:positionH relativeFrom="column">
              <wp:posOffset>-282575</wp:posOffset>
            </wp:positionH>
            <wp:positionV relativeFrom="paragraph">
              <wp:posOffset>47625</wp:posOffset>
            </wp:positionV>
            <wp:extent cx="6301105" cy="1776095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0110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25D" w:rsidRDefault="00BC125D"/>
    <w:p w:rsidR="00BC125D" w:rsidRDefault="00BC125D"/>
    <w:p w:rsidR="00BC125D" w:rsidRDefault="00BC125D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>
      <w:bookmarkStart w:id="0" w:name="_GoBack"/>
      <w:bookmarkEnd w:id="0"/>
    </w:p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3F2546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62306" wp14:editId="331A7F43">
                <wp:simplePos x="0" y="0"/>
                <wp:positionH relativeFrom="column">
                  <wp:posOffset>281305</wp:posOffset>
                </wp:positionH>
                <wp:positionV relativeFrom="paragraph">
                  <wp:posOffset>-6473825</wp:posOffset>
                </wp:positionV>
                <wp:extent cx="6389369" cy="8821419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89369" cy="88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546" w:rsidRPr="000B7BA5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g) Si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informa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che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l’Azienda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procederà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trattamento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personali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forniti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dagli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all’atto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dell’iscrizione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presso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la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Scuola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Secondaria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fine di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svolgere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attività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istituzionali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orientamento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le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finalità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sopra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riportate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I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personali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saranno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trattati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pieno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rispetto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Regolamento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UE 2016/679 e del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Codice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protezione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personali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D.lgs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n. 196/2003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s.m.i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.).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Art. 7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1. La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convenzione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decorre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data sotto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indicata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dura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fino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all’espletamento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dell’esperienza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definita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da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ciascun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Piano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Personalizzato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2. E’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ogni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caso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riconosciuta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facoltà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risolvere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convenzione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caso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violazione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obblighi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salute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luoghi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o del piano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personalizzato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3F2546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F2546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Cosenza, ___/____/_____</w:t>
                            </w:r>
                          </w:p>
                          <w:p w:rsidR="003F2546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F2546" w:rsidRDefault="003F2546" w:rsidP="003F2546">
                            <w:pPr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Denominazione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</w:p>
                          <w:p w:rsidR="003F2546" w:rsidRDefault="003F2546" w:rsidP="003F2546">
                            <w:pPr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F2546" w:rsidRDefault="003F2546" w:rsidP="003F2546">
                            <w:pPr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Amministratore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:rsidR="003F2546" w:rsidRPr="00B416A0" w:rsidRDefault="003F2546" w:rsidP="003F2546">
                            <w:pPr>
                              <w:ind w:left="7080" w:firstLine="708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</w:p>
                          <w:p w:rsidR="003F2546" w:rsidRPr="00473BC7" w:rsidRDefault="003F2546" w:rsidP="003F2546">
                            <w:pPr>
                              <w:jc w:val="right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I.I.S. “Marconi </w:t>
                            </w:r>
                            <w:proofErr w:type="spellStart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Guarasci</w:t>
                            </w:r>
                            <w:proofErr w:type="spellEnd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” Cosenza</w:t>
                            </w:r>
                          </w:p>
                          <w:p w:rsidR="003F2546" w:rsidRPr="00473BC7" w:rsidRDefault="003F2546" w:rsidP="003F2546">
                            <w:pPr>
                              <w:jc w:val="right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Il </w:t>
                            </w:r>
                            <w:proofErr w:type="spellStart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Dirigente</w:t>
                            </w:r>
                            <w:proofErr w:type="spellEnd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Scolastico</w:t>
                            </w:r>
                            <w:proofErr w:type="spellEnd"/>
                          </w:p>
                          <w:p w:rsidR="003F2546" w:rsidRDefault="003F2546" w:rsidP="003F2546">
                            <w:pPr>
                              <w:jc w:val="right"/>
                              <w:rPr>
                                <w:rFonts w:ascii="Cambria" w:hAnsi="Cambria" w:cs="Aharoni"/>
                                <w:b/>
                                <w:sz w:val="28"/>
                              </w:rPr>
                            </w:pPr>
                            <w:proofErr w:type="spellStart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Prof.ssa</w:t>
                            </w:r>
                            <w:proofErr w:type="spellEnd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Maria </w:t>
                            </w:r>
                            <w:proofErr w:type="spellStart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Saveria</w:t>
                            </w:r>
                            <w:proofErr w:type="spellEnd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73BC7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Veltri</w:t>
                            </w:r>
                            <w:proofErr w:type="spellEnd"/>
                          </w:p>
                          <w:p w:rsidR="003F2546" w:rsidRDefault="003F2546" w:rsidP="003F2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15pt;margin-top:-509.75pt;width:503.1pt;height:694.6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" filled="f" stroked="f">
                <v:textbox>
                  <w:txbxContent>
                    <w:p w:rsidR="003F2546" w:rsidRPr="000B7BA5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g) Si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informa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che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l’Azienda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procederà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trattamento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personali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forniti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dagli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all’atto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dell’iscrizione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presso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Scuola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Secondaria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fine di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svolgere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attività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istituzionali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orientamento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le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finalità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sopra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riportate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I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personali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saranno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trattati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pieno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rispetto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Regolamento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UE 2016/679 e del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Codice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protezione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personali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D.lgs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n. 196/2003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s.m.i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.).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Art. 7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1. La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convenzione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decorre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data sotto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indicata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dura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fino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all’espletamento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dell’esperienza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definita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da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ciascun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Piano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Personalizzato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2. E’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ogni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caso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riconosciuta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facoltà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risolvere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convenzione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caso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violazione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obblighi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salute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luoghi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o del piano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personalizzato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:rsidR="003F2546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3F2546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Cosenza, ___/____/_____</w:t>
                      </w:r>
                    </w:p>
                    <w:p w:rsidR="003F2546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3F2546" w:rsidRDefault="003F2546" w:rsidP="003F2546">
                      <w:pPr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Denominazione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</w:p>
                    <w:p w:rsidR="003F2546" w:rsidRDefault="003F2546" w:rsidP="003F2546">
                      <w:pPr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3F2546" w:rsidRDefault="003F2546" w:rsidP="003F2546">
                      <w:pPr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Amministratore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 </w:t>
                      </w:r>
                    </w:p>
                    <w:p w:rsidR="003F2546" w:rsidRPr="00B416A0" w:rsidRDefault="003F2546" w:rsidP="003F2546">
                      <w:pPr>
                        <w:ind w:left="7080" w:firstLine="708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                                </w:t>
                      </w:r>
                    </w:p>
                    <w:p w:rsidR="003F2546" w:rsidRPr="00473BC7" w:rsidRDefault="003F2546" w:rsidP="003F2546">
                      <w:pPr>
                        <w:jc w:val="right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I.I.S. “Marconi </w:t>
                      </w:r>
                      <w:proofErr w:type="spellStart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Guarasci</w:t>
                      </w:r>
                      <w:proofErr w:type="spellEnd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” Cosenza</w:t>
                      </w:r>
                    </w:p>
                    <w:p w:rsidR="003F2546" w:rsidRPr="00473BC7" w:rsidRDefault="003F2546" w:rsidP="003F2546">
                      <w:pPr>
                        <w:jc w:val="right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Il </w:t>
                      </w:r>
                      <w:proofErr w:type="spellStart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Dirigente</w:t>
                      </w:r>
                      <w:proofErr w:type="spellEnd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Scolastico</w:t>
                      </w:r>
                      <w:proofErr w:type="spellEnd"/>
                    </w:p>
                    <w:p w:rsidR="003F2546" w:rsidRDefault="003F2546" w:rsidP="003F2546">
                      <w:pPr>
                        <w:jc w:val="right"/>
                        <w:rPr>
                          <w:rFonts w:ascii="Cambria" w:hAnsi="Cambria" w:cs="Aharoni"/>
                          <w:b/>
                          <w:sz w:val="28"/>
                        </w:rPr>
                      </w:pPr>
                      <w:proofErr w:type="spellStart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Prof.ssa</w:t>
                      </w:r>
                      <w:proofErr w:type="spellEnd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Maria </w:t>
                      </w:r>
                      <w:proofErr w:type="spellStart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Saveria</w:t>
                      </w:r>
                      <w:proofErr w:type="spellEnd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73BC7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Veltri</w:t>
                      </w:r>
                      <w:proofErr w:type="spellEnd"/>
                    </w:p>
                    <w:p w:rsidR="003F2546" w:rsidRDefault="003F2546" w:rsidP="003F2546"/>
                  </w:txbxContent>
                </v:textbox>
              </v:shape>
            </w:pict>
          </mc:Fallback>
        </mc:AlternateContent>
      </w:r>
    </w:p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BC125D" w:rsidRDefault="00BC125D"/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lastRenderedPageBreak/>
        <w:t xml:space="preserve">3.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L’attività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>
        <w:rPr>
          <w:rFonts w:cs="ConduitITC-Light"/>
          <w:color w:val="000000"/>
          <w:sz w:val="23"/>
          <w:szCs w:val="23"/>
        </w:rPr>
        <w:t>formazione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>
        <w:rPr>
          <w:rFonts w:cs="ConduitITC-Light"/>
          <w:color w:val="000000"/>
          <w:sz w:val="23"/>
          <w:szCs w:val="23"/>
        </w:rPr>
        <w:t>ed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>
        <w:rPr>
          <w:rFonts w:cs="ConduitITC-Light"/>
          <w:color w:val="000000"/>
          <w:sz w:val="23"/>
          <w:szCs w:val="23"/>
        </w:rPr>
        <w:t>orientamento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del PCTO</w:t>
      </w:r>
      <w:r w:rsidRPr="00AF2260">
        <w:rPr>
          <w:rFonts w:cs="ConduitITC-Light"/>
          <w:color w:val="000000"/>
          <w:sz w:val="23"/>
          <w:szCs w:val="23"/>
        </w:rPr>
        <w:t xml:space="preserve"> è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congiuntamente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progettata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r w:rsidRPr="00AF2260">
        <w:rPr>
          <w:rFonts w:cs="ConduitITC-Light"/>
          <w:color w:val="000000"/>
          <w:sz w:val="23"/>
          <w:szCs w:val="23"/>
        </w:rPr>
        <w:t xml:space="preserve">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verificata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 un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tutore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designato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denominato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“tutor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” e da un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tutore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aziendale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,</w:t>
      </w:r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indicato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denominato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“tutor </w:t>
      </w:r>
      <w:proofErr w:type="spellStart"/>
      <w:r>
        <w:rPr>
          <w:rFonts w:cs="ConduitITC-Light"/>
          <w:color w:val="000000"/>
          <w:sz w:val="23"/>
          <w:szCs w:val="23"/>
        </w:rPr>
        <w:t>formativo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”;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4. Per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allievo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beneficiario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</w:t>
      </w:r>
      <w:r>
        <w:rPr>
          <w:rFonts w:cs="ConduitITC-Light"/>
          <w:color w:val="000000"/>
          <w:sz w:val="23"/>
          <w:szCs w:val="23"/>
        </w:rPr>
        <w:t>PCTO</w:t>
      </w:r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inserito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nell’impresa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in base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presente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è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predisposta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un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coerente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con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che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parte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integrante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.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5. La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titolarità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percorso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progettazione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certificazione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acquisizioni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è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Soggetto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.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6.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L’accoglimento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/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degli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/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minorenni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periodi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apprendimento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situazione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lavorativa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non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fa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acquisire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agli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stessi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qualifica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“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lavoratore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minore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” di cui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L. 977/67 e successive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modifiche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.</w:t>
      </w:r>
    </w:p>
    <w:p w:rsidR="00BC125D" w:rsidRPr="00103573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Bold"/>
          <w:b/>
          <w:bCs/>
          <w:color w:val="1D407E"/>
          <w:sz w:val="16"/>
          <w:szCs w:val="16"/>
        </w:rPr>
      </w:pP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center"/>
        <w:rPr>
          <w:rFonts w:cs="ConduitITC-Bold"/>
          <w:b/>
          <w:bCs/>
          <w:color w:val="1D407E"/>
        </w:rPr>
      </w:pPr>
      <w:r w:rsidRPr="00AF2260">
        <w:rPr>
          <w:rFonts w:cs="ConduitITC-Bold"/>
          <w:b/>
          <w:bCs/>
          <w:color w:val="1D407E"/>
        </w:rPr>
        <w:t>Art. 3.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1. Il 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svolge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r>
        <w:rPr>
          <w:rFonts w:cs="ConduitITC-Light"/>
          <w:color w:val="000000"/>
          <w:sz w:val="23"/>
          <w:szCs w:val="23"/>
        </w:rPr>
        <w:t xml:space="preserve">le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funzioni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di: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accoglienza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consulenza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presso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l’Istituzione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confronti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degli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allievi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genitori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; tale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dovrà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riguardare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altresì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disciplina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salute sui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luoghi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organizzazione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coordinamento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dell’allievo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redazione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report finale;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verifica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dell’avvenuta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/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da parte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promotore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</w:t>
      </w:r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norma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relativa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a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igiene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salute sui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luoghi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(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veda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art. 5 comma 2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);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certificazione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eventuali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già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acquisite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dallo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salute</w:t>
      </w:r>
      <w:r>
        <w:rPr>
          <w:rFonts w:cs="ConduitITC-Light"/>
          <w:color w:val="000000"/>
          <w:sz w:val="23"/>
          <w:szCs w:val="23"/>
        </w:rPr>
        <w:t xml:space="preserve"> </w:t>
      </w:r>
      <w:r w:rsidRPr="00AF2260">
        <w:rPr>
          <w:rFonts w:cs="ConduitITC-Light"/>
          <w:color w:val="000000"/>
          <w:sz w:val="23"/>
          <w:szCs w:val="23"/>
        </w:rPr>
        <w:t xml:space="preserve">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luoghi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f)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verifica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 parte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soggetto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quanto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indicato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presente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progetto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con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riguardo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altresì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misure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prevenzione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protezione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g)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collaborazione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col 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all’individuazione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.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2. Il 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svolge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funzioni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di: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/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sui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rischi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specifici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aziendali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procedure interne;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accoglienza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accompagnamento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struttura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ospitante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predisposizione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dichiarazione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acquisite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contesto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collaborazione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col 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all’individuazione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garantire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specifico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anche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per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quanto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concerne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salute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luoghi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r w:rsidRPr="00AF2260">
        <w:rPr>
          <w:rFonts w:cs="ConduitITC-Light"/>
          <w:color w:val="000000"/>
          <w:sz w:val="23"/>
          <w:szCs w:val="23"/>
        </w:rPr>
        <w:t xml:space="preserve">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.</w:t>
      </w:r>
    </w:p>
    <w:p w:rsidR="00BC125D" w:rsidRPr="00FC1D9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3. </w:t>
      </w:r>
      <w:r w:rsidRPr="00FC1D90">
        <w:rPr>
          <w:rFonts w:cs="ConduitITC-Light"/>
          <w:color w:val="000000"/>
          <w:sz w:val="23"/>
          <w:szCs w:val="23"/>
        </w:rPr>
        <w:t xml:space="preserve">Le due figure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dei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tutor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che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nello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svolgimento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delle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oggetto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della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convenzione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assumono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ai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fini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delle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vigenti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norme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materia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di salute e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nei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luoghi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lavoro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il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ruolo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di “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Preposto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alla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di cui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all’art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. 19 del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D.Lgs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81/08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s.m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. e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. e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condividono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seguenti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FC1D90">
        <w:rPr>
          <w:rFonts w:cs="ConduitITC-Light"/>
          <w:color w:val="000000"/>
          <w:sz w:val="23"/>
          <w:szCs w:val="23"/>
        </w:rPr>
        <w:t>compiti</w:t>
      </w:r>
      <w:proofErr w:type="spellEnd"/>
      <w:r w:rsidRPr="00FC1D90">
        <w:rPr>
          <w:rFonts w:cs="ConduitITC-Light"/>
          <w:color w:val="000000"/>
          <w:sz w:val="23"/>
          <w:szCs w:val="23"/>
        </w:rPr>
        <w:t xml:space="preserve">: 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a)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Predisposizione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anche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con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riguardo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disciplina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sicurezza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salute</w:t>
      </w:r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luoghi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.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particolare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interno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dovrà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collaborare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col tutor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esterno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al fine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dell’individuazione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mansioni</w:t>
      </w:r>
      <w:proofErr w:type="spellEnd"/>
      <w:r w:rsidRPr="00AF2260">
        <w:rPr>
          <w:rFonts w:cs="ConduitITC-Light"/>
          <w:color w:val="000000"/>
          <w:sz w:val="23"/>
          <w:szCs w:val="23"/>
        </w:rPr>
        <w:t>/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attività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richieste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progetto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misure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prevenzione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necessarie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tutela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dello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b)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controllo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frequenza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dell’attuazione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del Piano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formativo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personalizzato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c)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raccordo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tra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le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esperienze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formative in aula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quella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ambiente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lavorativo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Pr="00AF2260" w:rsidRDefault="00BC125D" w:rsidP="008932E3">
      <w:pPr>
        <w:autoSpaceDE w:val="0"/>
        <w:autoSpaceDN w:val="0"/>
        <w:adjustRightInd w:val="0"/>
        <w:spacing w:line="276" w:lineRule="auto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d)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elaborazione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un report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sull’esperienza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svolta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sulle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acquisizioni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allievo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,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che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concorre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valutazione</w:t>
      </w:r>
      <w:proofErr w:type="spellEnd"/>
      <w:r>
        <w:rPr>
          <w:rFonts w:cs="ConduitITC-Light"/>
          <w:color w:val="000000"/>
          <w:sz w:val="23"/>
          <w:szCs w:val="23"/>
        </w:rPr>
        <w:t xml:space="preserve"> </w:t>
      </w:r>
      <w:r w:rsidRPr="00AF2260">
        <w:rPr>
          <w:rFonts w:cs="ConduitITC-Light"/>
          <w:color w:val="000000"/>
          <w:sz w:val="23"/>
          <w:szCs w:val="23"/>
        </w:rPr>
        <w:t xml:space="preserve">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certificazione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competenze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 parte del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Consiglio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classe</w:t>
      </w:r>
      <w:proofErr w:type="spellEnd"/>
      <w:r w:rsidRPr="00AF2260">
        <w:rPr>
          <w:rFonts w:cs="ConduitITC-Light"/>
          <w:color w:val="000000"/>
          <w:sz w:val="23"/>
          <w:szCs w:val="23"/>
        </w:rPr>
        <w:t>;</w:t>
      </w:r>
    </w:p>
    <w:p w:rsidR="00BC125D" w:rsidRDefault="00BC125D" w:rsidP="008932E3">
      <w:pPr>
        <w:spacing w:line="276" w:lineRule="auto"/>
      </w:pPr>
      <w:r w:rsidRPr="00AF2260">
        <w:rPr>
          <w:rFonts w:cs="ConduitITC-Light"/>
          <w:color w:val="000000"/>
          <w:sz w:val="23"/>
          <w:szCs w:val="23"/>
        </w:rPr>
        <w:t xml:space="preserve">e)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garantire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il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rispetto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 parte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degli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propri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ciascun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lavoratore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di cui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all’art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. 20 D. Lgs.81/2008. In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particolare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la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violazione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da parte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dello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studente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degli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obblighi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richiamati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dalla</w:t>
      </w:r>
      <w:proofErr w:type="spellEnd"/>
      <w:r w:rsidRPr="00AF2260">
        <w:rPr>
          <w:rFonts w:cs="ConduitITC-Light"/>
          <w:color w:val="000000"/>
          <w:sz w:val="23"/>
          <w:szCs w:val="23"/>
        </w:rPr>
        <w:t xml:space="preserve"> </w:t>
      </w:r>
      <w:proofErr w:type="spellStart"/>
      <w:r w:rsidRPr="00AF2260">
        <w:rPr>
          <w:rFonts w:cs="ConduitITC-Light"/>
          <w:color w:val="000000"/>
          <w:sz w:val="23"/>
          <w:szCs w:val="23"/>
        </w:rPr>
        <w:t>norma</w:t>
      </w:r>
      <w:proofErr w:type="spellEnd"/>
    </w:p>
    <w:p w:rsidR="00BC125D" w:rsidRDefault="00BC125D"/>
    <w:p w:rsidR="00BC125D" w:rsidRDefault="00BC125D"/>
    <w:p w:rsidR="00BC125D" w:rsidRDefault="00BC125D"/>
    <w:p w:rsidR="00BC125D" w:rsidRDefault="00BC125D"/>
    <w:p w:rsidR="00BC125D" w:rsidRDefault="008932E3"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033BD" wp14:editId="7A4DBF2F">
                <wp:simplePos x="0" y="0"/>
                <wp:positionH relativeFrom="column">
                  <wp:posOffset>128905</wp:posOffset>
                </wp:positionH>
                <wp:positionV relativeFrom="paragraph">
                  <wp:posOffset>-55072</wp:posOffset>
                </wp:positionV>
                <wp:extent cx="6388735" cy="8668987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8668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citata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dal piano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sarà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segnalato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dal tutor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esterno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tutor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interno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affinché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quest’ultimo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possa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porre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essere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azioni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necessarie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3F2546" w:rsidRPr="00103573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Bold"/>
                                <w:b/>
                                <w:bCs/>
                                <w:color w:val="1D407E"/>
                                <w:sz w:val="16"/>
                                <w:szCs w:val="16"/>
                              </w:rPr>
                            </w:pP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Art. 4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1. Durante lo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svolgimento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PCTO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è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tenuto/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tenuti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a: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a)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svolgere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attività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previste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dal Piano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personalizzato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b)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rispettare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norme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d’igiene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salute sui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luoghi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tutte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disposizioni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istruzioni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prescrizioni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regolamenti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interni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previsti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tal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scopo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c)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mantenere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necessaria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riservatezza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quanto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attiene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informazioni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conoscenze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merito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processi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produttivi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prodotti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acquisiti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durante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svolgimento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dell’attività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contesto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lavorativo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d)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seguire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indicazioni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tutor e fare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riferimento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ad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qualsiasi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esigenza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tipo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organizzativo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altre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evenienze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17225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FF0000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e)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rispettare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gli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obblighi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cui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d.lgs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81/2008, art. 20,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nonché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disposizioni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trasferite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dai</w:t>
                            </w:r>
                            <w:proofErr w:type="spellEnd"/>
                            <w:r w:rsidRPr="002F37AD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tutor.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F2546" w:rsidRPr="00776B8E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Bold"/>
                                <w:b/>
                                <w:bCs/>
                                <w:color w:val="1D407E"/>
                                <w:sz w:val="16"/>
                                <w:szCs w:val="16"/>
                              </w:rPr>
                            </w:pP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Art. 5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1. Il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assicura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PCTO ex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alternanza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scuola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contro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infortuni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sul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l’INAIL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gestione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per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cui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all’articolo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190 comma 2, del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testo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unico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approvato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con D.P.R. 30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giugno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1965 n. 1124, e per la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responsabilità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civile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compagnie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assicurative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operanti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settore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stipulata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con </w:t>
                            </w:r>
                            <w:r>
                              <w:t>“</w:t>
                            </w:r>
                            <w:proofErr w:type="spellStart"/>
                            <w:r>
                              <w:t>Bene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Aquista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Assicurazione</w:t>
                            </w:r>
                            <w:proofErr w:type="spellEnd"/>
                            <w:r>
                              <w:t xml:space="preserve"> ”.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caso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d’incidente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durante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svolgimento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impegna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segnalare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l’evento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entro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tempi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previsti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dalla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normativa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vigente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istituti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assicurativi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facendo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riferimento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polizza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sottoscritta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ed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17100B">
                              <w:t xml:space="preserve"> </w:t>
                            </w:r>
                            <w:proofErr w:type="spellStart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L’imposta</w:t>
                            </w:r>
                            <w:proofErr w:type="spellEnd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bollo</w:t>
                            </w:r>
                            <w:proofErr w:type="spellEnd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è </w:t>
                            </w:r>
                            <w:proofErr w:type="spellStart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assolta</w:t>
                            </w:r>
                            <w:proofErr w:type="spellEnd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ai</w:t>
                            </w:r>
                            <w:proofErr w:type="spellEnd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sensi</w:t>
                            </w:r>
                            <w:proofErr w:type="spellEnd"/>
                            <w:r w:rsidRPr="0017100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D.M. 17/6/2014.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2. </w:t>
                            </w:r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Ai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fini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dell’applicazione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dell’articolo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18 del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d.lgs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81/2008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l’Istituto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fa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carico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oltre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agli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adempimenti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cui al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D.Lgs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81/08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s.m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 e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.,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specificamente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seguenti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obblighi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: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nell’affidare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all’azienda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tener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capacità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condizioni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stessi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rapporto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salute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informare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norma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relativa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igiene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salute sui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luoghi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, con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particolare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riguardo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agli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obblighi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ex art. 20 D.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Lgs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 81/2008;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designare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un tutor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interno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competente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adeguatamente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salute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luoghi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avvalga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professionalità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adeguate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 RSPP);</w:t>
                            </w:r>
                          </w:p>
                          <w:p w:rsidR="003F2546" w:rsidRPr="00776B8E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Bold"/>
                                <w:b/>
                                <w:bCs/>
                                <w:color w:val="1D407E"/>
                                <w:sz w:val="16"/>
                                <w:szCs w:val="16"/>
                              </w:rPr>
                            </w:pP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</w:pPr>
                            <w:r w:rsidRPr="00AF2260">
                              <w:rPr>
                                <w:rFonts w:cs="ConduitITC-Bold"/>
                                <w:b/>
                                <w:bCs/>
                                <w:color w:val="1D407E"/>
                              </w:rPr>
                              <w:t>Art. 6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1. Il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ospitante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impegna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a: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a)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garantire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la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conformità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alle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vigenti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norme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salute e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spazi</w:t>
                            </w:r>
                            <w:proofErr w:type="spellEnd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AF6F6B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attrezza</w:t>
                            </w: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ture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macchine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impianti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dell’azienda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b)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rispettare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le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norme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antinfortunistiche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d’igiene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sul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c)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consentire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tutor del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contattare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del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tutor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aziendale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per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verificare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l’andamento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formazione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contesto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lavorativo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, per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coordinare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l’intero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percorso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formativo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e per la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stesura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della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relazione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finale;</w:t>
                            </w:r>
                          </w:p>
                          <w:p w:rsidR="003F2546" w:rsidRPr="00AF2260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d)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informare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promotore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qualsiasi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incidente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accada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al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beneficiari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3F2546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e)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individuare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il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tutor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esterno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un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soggetto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competente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adeguatamente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formato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sicurezza</w:t>
                            </w:r>
                            <w:proofErr w:type="spellEnd"/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e salute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nei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luoghi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lavoro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o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che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avvalga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professionalità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adeguate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materia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es</w:t>
                            </w:r>
                            <w:proofErr w:type="spellEnd"/>
                            <w:r w:rsidRPr="00AF2260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. RSPP).</w:t>
                            </w:r>
                          </w:p>
                          <w:p w:rsidR="003F2546" w:rsidRPr="000B7BA5" w:rsidRDefault="003F2546" w:rsidP="003F25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f</w:t>
                            </w:r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)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L’azienda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impegna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a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disporre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che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spazi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adibiti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attività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degli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studenti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in PCTO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siano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conformi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alle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prescrizioni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disposizioni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generali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specifiche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degli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Organismi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 xml:space="preserve"> di </w:t>
                            </w:r>
                            <w:proofErr w:type="spellStart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settore</w:t>
                            </w:r>
                            <w:proofErr w:type="spellEnd"/>
                            <w:r w:rsidRPr="000B7BA5">
                              <w:rPr>
                                <w:rFonts w:cs="ConduitITC-Light"/>
                                <w:color w:val="000000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07499A" w:rsidRDefault="00074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15pt;margin-top:-4.35pt;width:503.05pt;height:6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" filled="f" stroked="f">
                <v:textbox>
                  <w:txbxContent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citata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dal piano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sarà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segnalato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dal tutor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esterno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tutor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interno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affinché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quest’ultimo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possa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porre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essere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azioni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necessarie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:rsidR="003F2546" w:rsidRPr="00103573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Bold"/>
                          <w:b/>
                          <w:bCs/>
                          <w:color w:val="1D407E"/>
                          <w:sz w:val="16"/>
                          <w:szCs w:val="16"/>
                        </w:rPr>
                      </w:pP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Art. 4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1. Durante lo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svolgimento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PCTO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è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tenuto/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tenuti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a: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a)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svolgere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attività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previste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dal Piano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personalizzato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b)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rispettare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norme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d’igiene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salute sui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luoghi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tutte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disposizioni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istruzioni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prescrizioni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regolamenti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interni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previsti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tal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scopo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c)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mantenere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necessaria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riservatezza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quanto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attiene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informazioni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conoscenze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merito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processi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produttivi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prodotti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acquisiti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durante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svolgimento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dell’attività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contesto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lavorativo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d)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seguire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indicazioni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tutor e fare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riferimento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ad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qualsiasi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esigenza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tipo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organizzativo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altre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evenienze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17225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FF0000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e)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rispettare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gli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obblighi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cui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d.lgs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81/2008, art. 20,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nonché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disposizioni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trasferite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dai</w:t>
                      </w:r>
                      <w:proofErr w:type="spellEnd"/>
                      <w:r w:rsidRPr="002F37AD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tutor.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</w:p>
                    <w:p w:rsidR="003F2546" w:rsidRPr="00776B8E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Bold"/>
                          <w:b/>
                          <w:bCs/>
                          <w:color w:val="1D407E"/>
                          <w:sz w:val="16"/>
                          <w:szCs w:val="16"/>
                        </w:rPr>
                      </w:pP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Art. 5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1. Il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assicura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PCTO ex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alternanza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scuola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–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contro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gli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infortuni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sul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l’INAIL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gestione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per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cui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all’articolo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190 comma 2, del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testo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unico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approvato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con D.P.R. 30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giugno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1965 n. 1124, e per la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responsabilità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civile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compagnie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assicurative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operanti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settore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stipulata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con </w:t>
                      </w:r>
                      <w:r>
                        <w:t>“</w:t>
                      </w:r>
                      <w:proofErr w:type="spellStart"/>
                      <w:r>
                        <w:t>Bene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Aquista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Assicurazione</w:t>
                      </w:r>
                      <w:proofErr w:type="spellEnd"/>
                      <w:r>
                        <w:t xml:space="preserve"> ”.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caso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d’incidente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durante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svolgimento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impegna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segnalare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l’evento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entro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tempi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previsti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dalla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normativa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vigente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istituti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assicurativi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facendo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riferimento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numero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polizza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sottoscritta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ed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17100B">
                        <w:t xml:space="preserve"> </w:t>
                      </w:r>
                      <w:proofErr w:type="spellStart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L’imposta</w:t>
                      </w:r>
                      <w:proofErr w:type="spellEnd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bollo</w:t>
                      </w:r>
                      <w:proofErr w:type="spellEnd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è </w:t>
                      </w:r>
                      <w:proofErr w:type="spellStart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assolta</w:t>
                      </w:r>
                      <w:proofErr w:type="spellEnd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ai</w:t>
                      </w:r>
                      <w:proofErr w:type="spellEnd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sensi</w:t>
                      </w:r>
                      <w:proofErr w:type="spellEnd"/>
                      <w:r w:rsidRPr="0017100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D.M. 17/6/2014.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2. </w:t>
                      </w:r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Ai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fini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dell’applicazione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dell’articolo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18 del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d.lgs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81/2008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l’Istituto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fa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carico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oltre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agli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adempimenti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cui al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D.Lgs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81/08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s.m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 e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.,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specificamente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seguenti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obblighi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: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: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•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nell’affidare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all’azienda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tener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capacità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condizioni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stessi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rapporto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salute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•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informare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norma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relativa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igiene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salute sui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luoghi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, con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particolare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riguardo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agli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obblighi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ex art. 20 D.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Lgs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 81/2008;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•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designare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un tutor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interno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competente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adeguatamente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salute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luoghi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avvalga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professionalità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adeguate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 RSPP);</w:t>
                      </w:r>
                    </w:p>
                    <w:p w:rsidR="003F2546" w:rsidRPr="00776B8E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Bold"/>
                          <w:b/>
                          <w:bCs/>
                          <w:color w:val="1D407E"/>
                          <w:sz w:val="16"/>
                          <w:szCs w:val="16"/>
                        </w:rPr>
                      </w:pP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nduitITC-Bold"/>
                          <w:b/>
                          <w:bCs/>
                          <w:color w:val="1D407E"/>
                        </w:rPr>
                      </w:pPr>
                      <w:r w:rsidRPr="00AF2260">
                        <w:rPr>
                          <w:rFonts w:cs="ConduitITC-Bold"/>
                          <w:b/>
                          <w:bCs/>
                          <w:color w:val="1D407E"/>
                        </w:rPr>
                        <w:t>Art. 6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1. Il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ospitante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impegna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a: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a)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garantire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conformità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alle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vigenti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norme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salute e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spazi</w:t>
                      </w:r>
                      <w:proofErr w:type="spellEnd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AF6F6B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attrezza</w:t>
                      </w: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ture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macchine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impianti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dell’azienda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b)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rispettare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le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norme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antinfortunistiche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d’igiene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sul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c)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consentire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tutor del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contattare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del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tutor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aziendale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per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verificare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l’andamento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formazione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contesto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lavorativo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, per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coordinare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l’intero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percorso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formativo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e per la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stesura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della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relazione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finale;</w:t>
                      </w:r>
                    </w:p>
                    <w:p w:rsidR="003F2546" w:rsidRPr="00AF2260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d)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informare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promotore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qualsiasi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incidente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accada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al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beneficiari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3F2546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e)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individuare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il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tutor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esterno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un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soggetto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competente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adeguatamente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formato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sicurezza</w:t>
                      </w:r>
                      <w:proofErr w:type="spellEnd"/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e salute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nei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luoghi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lavoro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o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che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avvalga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professionalità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adeguate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materia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es</w:t>
                      </w:r>
                      <w:proofErr w:type="spellEnd"/>
                      <w:r w:rsidRPr="00AF2260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. RSPP).</w:t>
                      </w:r>
                    </w:p>
                    <w:p w:rsidR="003F2546" w:rsidRPr="000B7BA5" w:rsidRDefault="003F2546" w:rsidP="003F25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f</w:t>
                      </w:r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)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L’azienda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impegna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a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disporre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che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spazi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adibiti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attività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degli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studenti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in PCTO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siano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conformi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alle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prescrizioni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disposizioni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generali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specifiche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degli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Organismi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 xml:space="preserve"> di </w:t>
                      </w:r>
                      <w:proofErr w:type="spellStart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settore</w:t>
                      </w:r>
                      <w:proofErr w:type="spellEnd"/>
                      <w:r w:rsidRPr="000B7BA5">
                        <w:rPr>
                          <w:rFonts w:cs="ConduitITC-Light"/>
                          <w:color w:val="000000"/>
                          <w:sz w:val="23"/>
                          <w:szCs w:val="23"/>
                        </w:rPr>
                        <w:t>;</w:t>
                      </w:r>
                    </w:p>
                    <w:p w:rsidR="0007499A" w:rsidRDefault="0007499A"/>
                  </w:txbxContent>
                </v:textbox>
              </v:shape>
            </w:pict>
          </mc:Fallback>
        </mc:AlternateContent>
      </w:r>
    </w:p>
    <w:p w:rsidR="00BC125D" w:rsidRDefault="00BC125D"/>
    <w:p w:rsidR="00BC125D" w:rsidRDefault="00BC125D"/>
    <w:p w:rsidR="00BC125D" w:rsidRDefault="00BC125D"/>
    <w:p w:rsidR="00BC125D" w:rsidRDefault="00BC125D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07499A" w:rsidRDefault="0007499A"/>
    <w:p w:rsidR="00BC125D" w:rsidRDefault="00BC125D" w:rsidP="00BC125D"/>
    <w:sectPr w:rsidR="00BC125D" w:rsidSect="008932E3">
      <w:headerReference w:type="first" r:id="rId9"/>
      <w:pgSz w:w="23814" w:h="16839" w:orient="landscape" w:code="8"/>
      <w:pgMar w:top="1134" w:right="1134" w:bottom="1134" w:left="1417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37" w:rsidRDefault="00AD3237" w:rsidP="00BC125D">
      <w:r>
        <w:separator/>
      </w:r>
    </w:p>
  </w:endnote>
  <w:endnote w:type="continuationSeparator" w:id="0">
    <w:p w:rsidR="00AD3237" w:rsidRDefault="00AD3237" w:rsidP="00BC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37" w:rsidRDefault="00AD3237" w:rsidP="00BC125D">
      <w:r>
        <w:separator/>
      </w:r>
    </w:p>
  </w:footnote>
  <w:footnote w:type="continuationSeparator" w:id="0">
    <w:p w:rsidR="00AD3237" w:rsidRDefault="00AD3237" w:rsidP="00BC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5D" w:rsidRDefault="00BC125D" w:rsidP="00BC125D">
    <w:pPr>
      <w:spacing w:before="33"/>
      <w:ind w:left="1478" w:right="1544"/>
      <w:jc w:val="center"/>
      <w:rPr>
        <w:spacing w:val="1"/>
        <w:w w:val="83"/>
        <w:sz w:val="28"/>
        <w:szCs w:val="28"/>
      </w:rPr>
    </w:pP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59264" behindDoc="1" locked="0" layoutInCell="1" allowOverlap="1" wp14:anchorId="271CED97" wp14:editId="1BD38503">
          <wp:simplePos x="0" y="0"/>
          <wp:positionH relativeFrom="margin">
            <wp:posOffset>-394837</wp:posOffset>
          </wp:positionH>
          <wp:positionV relativeFrom="paragraph">
            <wp:posOffset>-238087</wp:posOffset>
          </wp:positionV>
          <wp:extent cx="1304500" cy="1262418"/>
          <wp:effectExtent l="0" t="0" r="0" b="0"/>
          <wp:wrapNone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CA27EB0" wp14:editId="20E2DB10">
          <wp:simplePos x="0" y="0"/>
          <wp:positionH relativeFrom="margin">
            <wp:posOffset>1256163</wp:posOffset>
          </wp:positionH>
          <wp:positionV relativeFrom="paragraph">
            <wp:posOffset>-129493</wp:posOffset>
          </wp:positionV>
          <wp:extent cx="3735228" cy="750627"/>
          <wp:effectExtent l="0" t="0" r="0" b="0"/>
          <wp:wrapNone/>
          <wp:docPr id="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146" cy="75603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0288" behindDoc="1" locked="0" layoutInCell="1" allowOverlap="1" wp14:anchorId="39FAC656" wp14:editId="64979CB1">
          <wp:simplePos x="0" y="0"/>
          <wp:positionH relativeFrom="column">
            <wp:posOffset>5259705</wp:posOffset>
          </wp:positionH>
          <wp:positionV relativeFrom="paragraph">
            <wp:posOffset>129247</wp:posOffset>
          </wp:positionV>
          <wp:extent cx="1372363" cy="443552"/>
          <wp:effectExtent l="0" t="0" r="0" b="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25D" w:rsidRDefault="00BC125D" w:rsidP="00BC125D">
    <w:pPr>
      <w:spacing w:before="33"/>
      <w:ind w:right="1544"/>
      <w:rPr>
        <w:spacing w:val="1"/>
        <w:w w:val="83"/>
        <w:sz w:val="28"/>
        <w:szCs w:val="28"/>
      </w:rPr>
    </w:pPr>
  </w:p>
  <w:p w:rsidR="00BC125D" w:rsidRDefault="00BC125D" w:rsidP="00BC125D">
    <w:pPr>
      <w:spacing w:before="33"/>
      <w:ind w:right="1544"/>
      <w:rPr>
        <w:spacing w:val="1"/>
        <w:w w:val="83"/>
        <w:sz w:val="28"/>
        <w:szCs w:val="28"/>
      </w:rPr>
    </w:pPr>
  </w:p>
  <w:p w:rsidR="00BC125D" w:rsidRPr="00A66460" w:rsidRDefault="00BC125D" w:rsidP="00BC125D">
    <w:pPr>
      <w:spacing w:before="33"/>
      <w:ind w:left="1478" w:right="1544"/>
      <w:jc w:val="center"/>
      <w:rPr>
        <w:spacing w:val="-1"/>
        <w:w w:val="108"/>
        <w:sz w:val="28"/>
        <w:szCs w:val="28"/>
      </w:rPr>
    </w:pPr>
    <w:r w:rsidRPr="00A66460">
      <w:rPr>
        <w:spacing w:val="1"/>
        <w:w w:val="83"/>
        <w:sz w:val="28"/>
        <w:szCs w:val="28"/>
      </w:rPr>
      <w:t>I</w:t>
    </w:r>
    <w:r w:rsidRPr="00A66460">
      <w:rPr>
        <w:spacing w:val="-1"/>
        <w:w w:val="120"/>
        <w:sz w:val="28"/>
        <w:szCs w:val="28"/>
      </w:rPr>
      <w:t>S</w:t>
    </w:r>
    <w:r w:rsidRPr="00A66460">
      <w:rPr>
        <w:w w:val="94"/>
        <w:sz w:val="28"/>
        <w:szCs w:val="28"/>
      </w:rPr>
      <w:t>T</w:t>
    </w:r>
    <w:r w:rsidRPr="00A66460">
      <w:rPr>
        <w:spacing w:val="-2"/>
        <w:w w:val="94"/>
        <w:sz w:val="28"/>
        <w:szCs w:val="28"/>
      </w:rPr>
      <w:t>I</w:t>
    </w:r>
    <w:r w:rsidRPr="00A66460">
      <w:rPr>
        <w:spacing w:val="2"/>
        <w:sz w:val="28"/>
        <w:szCs w:val="28"/>
      </w:rPr>
      <w:t>T</w:t>
    </w:r>
    <w:r w:rsidRPr="00A66460">
      <w:rPr>
        <w:spacing w:val="-3"/>
        <w:sz w:val="28"/>
        <w:szCs w:val="28"/>
      </w:rPr>
      <w:t>U</w:t>
    </w:r>
    <w:r w:rsidRPr="00A66460">
      <w:rPr>
        <w:spacing w:val="2"/>
        <w:sz w:val="28"/>
        <w:szCs w:val="28"/>
      </w:rPr>
      <w:t>T</w:t>
    </w:r>
    <w:r w:rsidRPr="00A66460">
      <w:rPr>
        <w:w w:val="108"/>
        <w:sz w:val="28"/>
        <w:szCs w:val="28"/>
      </w:rPr>
      <w:t>O</w:t>
    </w:r>
    <w:r w:rsidRPr="00A66460">
      <w:rPr>
        <w:spacing w:val="6"/>
        <w:sz w:val="28"/>
        <w:szCs w:val="28"/>
      </w:rPr>
      <w:t xml:space="preserve"> </w:t>
    </w:r>
    <w:r w:rsidRPr="00740423">
      <w:rPr>
        <w:spacing w:val="-1"/>
        <w:w w:val="108"/>
        <w:sz w:val="28"/>
        <w:szCs w:val="28"/>
      </w:rPr>
      <w:t>ISTRUZIONE</w:t>
    </w:r>
    <w:r w:rsidRPr="00A66460">
      <w:rPr>
        <w:spacing w:val="-1"/>
        <w:w w:val="108"/>
        <w:sz w:val="28"/>
        <w:szCs w:val="28"/>
      </w:rPr>
      <w:t xml:space="preserve"> SUPERIORE</w:t>
    </w:r>
  </w:p>
  <w:p w:rsidR="00BC125D" w:rsidRDefault="00BC125D" w:rsidP="00BC125D">
    <w:pPr>
      <w:spacing w:before="33"/>
      <w:ind w:left="1478" w:right="1544"/>
      <w:jc w:val="center"/>
      <w:rPr>
        <w:sz w:val="28"/>
        <w:szCs w:val="28"/>
      </w:rPr>
    </w:pPr>
    <w:r w:rsidRPr="001F273B">
      <w:rPr>
        <w:b/>
        <w:sz w:val="16"/>
        <w:szCs w:val="16"/>
      </w:rPr>
      <w:t>COSENZA IPSIA LS – ITE ROGLIANO – IPSSASR SCIGLIANO – ITI MONTALTO</w:t>
    </w:r>
    <w:r w:rsidRPr="00A66460">
      <w:rPr>
        <w:spacing w:val="-1"/>
        <w:w w:val="108"/>
        <w:sz w:val="28"/>
        <w:szCs w:val="28"/>
      </w:rPr>
      <w:t xml:space="preserve"> </w:t>
    </w:r>
  </w:p>
  <w:p w:rsidR="00BC125D" w:rsidRDefault="00BC125D" w:rsidP="00BC125D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proofErr w:type="spellStart"/>
    <w:r w:rsidRPr="00740423">
      <w:rPr>
        <w:rFonts w:ascii="Arial" w:eastAsia="Arial" w:hAnsi="Arial" w:cs="Arial"/>
        <w:position w:val="-1"/>
        <w:sz w:val="16"/>
        <w:szCs w:val="16"/>
      </w:rPr>
      <w:t>C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o</w:t>
    </w:r>
    <w:r w:rsidRPr="00740423">
      <w:rPr>
        <w:rFonts w:ascii="Arial" w:eastAsia="Arial" w:hAnsi="Arial" w:cs="Arial"/>
        <w:position w:val="-1"/>
        <w:sz w:val="16"/>
        <w:szCs w:val="16"/>
      </w:rPr>
      <w:t>dice</w:t>
    </w:r>
    <w:proofErr w:type="spellEnd"/>
    <w:r w:rsidRPr="00740423">
      <w:rPr>
        <w:rFonts w:ascii="Arial" w:eastAsia="Arial" w:hAnsi="Arial" w:cs="Arial"/>
        <w:spacing w:val="-8"/>
        <w:position w:val="-1"/>
        <w:sz w:val="16"/>
        <w:szCs w:val="16"/>
      </w:rPr>
      <w:t xml:space="preserve"> </w:t>
    </w:r>
    <w:proofErr w:type="spellStart"/>
    <w:r w:rsidRPr="00740423">
      <w:rPr>
        <w:rFonts w:ascii="Arial" w:eastAsia="Arial" w:hAnsi="Arial" w:cs="Arial"/>
        <w:position w:val="-1"/>
        <w:sz w:val="16"/>
        <w:szCs w:val="16"/>
      </w:rPr>
      <w:t>m</w:t>
    </w:r>
    <w:r w:rsidRPr="00740423">
      <w:rPr>
        <w:rFonts w:ascii="Arial" w:eastAsia="Arial" w:hAnsi="Arial" w:cs="Arial"/>
        <w:spacing w:val="2"/>
        <w:position w:val="-1"/>
        <w:sz w:val="16"/>
        <w:szCs w:val="16"/>
      </w:rPr>
      <w:t>e</w:t>
    </w:r>
    <w:r w:rsidRPr="00740423">
      <w:rPr>
        <w:rFonts w:ascii="Arial" w:eastAsia="Arial" w:hAnsi="Arial" w:cs="Arial"/>
        <w:position w:val="-1"/>
        <w:sz w:val="16"/>
        <w:szCs w:val="16"/>
      </w:rPr>
      <w:t>c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c</w:t>
    </w:r>
    <w:r w:rsidRPr="00740423">
      <w:rPr>
        <w:rFonts w:ascii="Arial" w:eastAsia="Arial" w:hAnsi="Arial" w:cs="Arial"/>
        <w:position w:val="-1"/>
        <w:sz w:val="16"/>
        <w:szCs w:val="16"/>
      </w:rPr>
      <w:t>an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o</w:t>
    </w:r>
    <w:r w:rsidRPr="00740423">
      <w:rPr>
        <w:rFonts w:ascii="Arial" w:eastAsia="Arial" w:hAnsi="Arial" w:cs="Arial"/>
        <w:position w:val="-1"/>
        <w:sz w:val="16"/>
        <w:szCs w:val="16"/>
      </w:rPr>
      <w:t>g</w:t>
    </w:r>
    <w:r w:rsidRPr="00740423">
      <w:rPr>
        <w:rFonts w:ascii="Arial" w:eastAsia="Arial" w:hAnsi="Arial" w:cs="Arial"/>
        <w:spacing w:val="-1"/>
        <w:position w:val="-1"/>
        <w:sz w:val="16"/>
        <w:szCs w:val="16"/>
      </w:rPr>
      <w:t>r</w:t>
    </w:r>
    <w:r w:rsidRPr="00740423">
      <w:rPr>
        <w:rFonts w:ascii="Arial" w:eastAsia="Arial" w:hAnsi="Arial" w:cs="Arial"/>
        <w:position w:val="-1"/>
        <w:sz w:val="16"/>
        <w:szCs w:val="16"/>
      </w:rPr>
      <w:t>afico</w:t>
    </w:r>
    <w:proofErr w:type="spellEnd"/>
    <w:r w:rsidRPr="00740423">
      <w:rPr>
        <w:rFonts w:ascii="Arial" w:eastAsia="Arial" w:hAnsi="Arial" w:cs="Arial"/>
        <w:position w:val="-1"/>
        <w:sz w:val="16"/>
        <w:szCs w:val="16"/>
      </w:rPr>
      <w:t>:</w:t>
    </w:r>
    <w:r w:rsidRPr="00740423">
      <w:rPr>
        <w:rFonts w:ascii="Arial" w:eastAsia="Arial" w:hAnsi="Arial" w:cs="Arial"/>
        <w:spacing w:val="-11"/>
        <w:position w:val="-1"/>
        <w:sz w:val="16"/>
        <w:szCs w:val="16"/>
      </w:rPr>
      <w:t xml:space="preserve"> </w:t>
    </w:r>
    <w:r w:rsidRPr="00740423">
      <w:rPr>
        <w:rFonts w:ascii="Arial" w:eastAsia="Arial" w:hAnsi="Arial" w:cs="Arial"/>
        <w:position w:val="-1"/>
        <w:sz w:val="16"/>
        <w:szCs w:val="16"/>
      </w:rPr>
      <w:t>CSIS073004</w:t>
    </w:r>
  </w:p>
  <w:p w:rsidR="00BC125D" w:rsidRDefault="00BC12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5D"/>
    <w:rsid w:val="0007499A"/>
    <w:rsid w:val="000830C1"/>
    <w:rsid w:val="003F2546"/>
    <w:rsid w:val="0054676F"/>
    <w:rsid w:val="00607540"/>
    <w:rsid w:val="00782D9F"/>
    <w:rsid w:val="00893101"/>
    <w:rsid w:val="008932E3"/>
    <w:rsid w:val="00AD3237"/>
    <w:rsid w:val="00BB28B2"/>
    <w:rsid w:val="00BC125D"/>
    <w:rsid w:val="00B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2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C1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2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9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99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2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C1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2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9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9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9CA2-DCD1-46CD-B0FB-7C4B85F5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Fabbricatore</dc:creator>
  <cp:lastModifiedBy>Prof. Fabbricatore</cp:lastModifiedBy>
  <cp:revision>5</cp:revision>
  <cp:lastPrinted>2024-10-17T10:45:00Z</cp:lastPrinted>
  <dcterms:created xsi:type="dcterms:W3CDTF">2024-09-09T07:56:00Z</dcterms:created>
  <dcterms:modified xsi:type="dcterms:W3CDTF">2024-10-17T10:47:00Z</dcterms:modified>
</cp:coreProperties>
</file>